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0D03" w14:textId="77777777" w:rsidR="00992A05" w:rsidRPr="00D7048C" w:rsidRDefault="00992A05" w:rsidP="00992A05">
      <w:pPr>
        <w:tabs>
          <w:tab w:val="left" w:pos="11805"/>
        </w:tabs>
        <w:rPr>
          <w:rFonts w:cstheme="minorHAnsi"/>
          <w:color w:val="000000"/>
          <w:sz w:val="24"/>
          <w:szCs w:val="24"/>
        </w:rPr>
      </w:pPr>
    </w:p>
    <w:p w14:paraId="4B01FDD6" w14:textId="77777777" w:rsidR="00992A05" w:rsidRPr="00D7048C" w:rsidRDefault="00992A05" w:rsidP="00992A05">
      <w:pPr>
        <w:tabs>
          <w:tab w:val="left" w:pos="11805"/>
        </w:tabs>
        <w:rPr>
          <w:rFonts w:cstheme="minorHAnsi"/>
          <w:color w:val="000000"/>
          <w:sz w:val="24"/>
          <w:szCs w:val="24"/>
        </w:rPr>
      </w:pPr>
      <w:r w:rsidRPr="00D7048C">
        <w:rPr>
          <w:rFonts w:cstheme="minorHAnsi"/>
          <w:color w:val="000000"/>
          <w:sz w:val="24"/>
          <w:szCs w:val="24"/>
        </w:rPr>
        <w:t>Proračunski korisnik 37718 Pučko otvoreno učilište Knin</w:t>
      </w:r>
    </w:p>
    <w:p w14:paraId="2673DB1A" w14:textId="77777777" w:rsidR="00992A05" w:rsidRPr="00D7048C" w:rsidRDefault="00992A05" w:rsidP="00992A05">
      <w:pPr>
        <w:tabs>
          <w:tab w:val="left" w:pos="11805"/>
        </w:tabs>
        <w:rPr>
          <w:rFonts w:cstheme="minorHAnsi"/>
          <w:color w:val="000000"/>
          <w:sz w:val="24"/>
          <w:szCs w:val="24"/>
        </w:rPr>
      </w:pPr>
      <w:r w:rsidRPr="00D7048C">
        <w:rPr>
          <w:rFonts w:cstheme="minorHAnsi"/>
          <w:color w:val="000000"/>
          <w:sz w:val="24"/>
          <w:szCs w:val="24"/>
        </w:rPr>
        <w:t xml:space="preserve">Glava 01007 Pučko otvoreno učilište </w:t>
      </w:r>
    </w:p>
    <w:p w14:paraId="45A93E8D" w14:textId="77777777" w:rsidR="00992A05" w:rsidRPr="00D7048C" w:rsidRDefault="00992A05" w:rsidP="00992A05">
      <w:pPr>
        <w:tabs>
          <w:tab w:val="left" w:pos="11805"/>
        </w:tabs>
        <w:rPr>
          <w:rFonts w:cstheme="minorHAnsi"/>
          <w:color w:val="000000"/>
          <w:sz w:val="24"/>
          <w:szCs w:val="24"/>
        </w:rPr>
      </w:pPr>
      <w:r w:rsidRPr="00D7048C">
        <w:rPr>
          <w:rFonts w:cstheme="minorHAnsi"/>
          <w:color w:val="000000"/>
          <w:sz w:val="24"/>
          <w:szCs w:val="24"/>
        </w:rPr>
        <w:t>Program 1060 Djelatnost Pučkog otvorenog učilišta</w:t>
      </w:r>
    </w:p>
    <w:p w14:paraId="08D1735A" w14:textId="77777777" w:rsidR="00992A05" w:rsidRPr="00D7048C" w:rsidRDefault="00992A05" w:rsidP="00992A05">
      <w:pPr>
        <w:tabs>
          <w:tab w:val="left" w:pos="11805"/>
        </w:tabs>
        <w:rPr>
          <w:rFonts w:cstheme="minorHAnsi"/>
          <w:color w:val="000000"/>
          <w:sz w:val="24"/>
          <w:szCs w:val="24"/>
        </w:rPr>
      </w:pPr>
    </w:p>
    <w:p w14:paraId="66430C26" w14:textId="77777777" w:rsidR="00992A05" w:rsidRPr="00D7048C" w:rsidRDefault="00992A05" w:rsidP="00992A05">
      <w:pPr>
        <w:tabs>
          <w:tab w:val="left" w:pos="11805"/>
        </w:tabs>
        <w:rPr>
          <w:rFonts w:cstheme="minorHAnsi"/>
          <w:color w:val="000000"/>
          <w:sz w:val="24"/>
          <w:szCs w:val="24"/>
        </w:rPr>
      </w:pPr>
    </w:p>
    <w:p w14:paraId="35360072" w14:textId="32D5A2E2" w:rsidR="00992A05" w:rsidRPr="00D7048C" w:rsidRDefault="00992A05" w:rsidP="00992A05">
      <w:pPr>
        <w:tabs>
          <w:tab w:val="left" w:pos="11805"/>
        </w:tabs>
        <w:rPr>
          <w:rFonts w:cstheme="minorHAnsi"/>
          <w:color w:val="000000"/>
          <w:sz w:val="24"/>
          <w:szCs w:val="24"/>
        </w:rPr>
      </w:pPr>
      <w:r w:rsidRPr="00D7048C">
        <w:rPr>
          <w:rFonts w:cstheme="minorHAnsi"/>
          <w:color w:val="000000"/>
          <w:sz w:val="24"/>
          <w:szCs w:val="24"/>
        </w:rPr>
        <w:t xml:space="preserve">  Obrazloženje Financijskog plana Rebalansa </w:t>
      </w:r>
      <w:r w:rsidR="00DC7B97">
        <w:rPr>
          <w:rFonts w:cstheme="minorHAnsi"/>
          <w:color w:val="000000"/>
          <w:sz w:val="24"/>
          <w:szCs w:val="24"/>
        </w:rPr>
        <w:t>II</w:t>
      </w:r>
      <w:r w:rsidRPr="00D7048C">
        <w:rPr>
          <w:rFonts w:cstheme="minorHAnsi"/>
          <w:color w:val="000000"/>
          <w:sz w:val="24"/>
          <w:szCs w:val="24"/>
        </w:rPr>
        <w:t xml:space="preserve"> za 2025. godinu                                                                                                                                                                                                                                 </w:t>
      </w:r>
    </w:p>
    <w:p w14:paraId="73BBEBCE" w14:textId="77777777" w:rsidR="00992A05" w:rsidRPr="00D7048C" w:rsidRDefault="00992A05" w:rsidP="00992A05">
      <w:pPr>
        <w:rPr>
          <w:rFonts w:cstheme="minorHAnsi"/>
          <w:color w:val="000000"/>
          <w:sz w:val="24"/>
          <w:szCs w:val="24"/>
        </w:rPr>
      </w:pPr>
    </w:p>
    <w:p w14:paraId="0B52283D" w14:textId="77777777" w:rsidR="00992A05" w:rsidRPr="00D7048C" w:rsidRDefault="00992A05" w:rsidP="00992A05">
      <w:pPr>
        <w:rPr>
          <w:rFonts w:cstheme="minorHAnsi"/>
          <w:sz w:val="24"/>
          <w:szCs w:val="24"/>
        </w:rPr>
      </w:pPr>
      <w:r w:rsidRPr="00D7048C">
        <w:rPr>
          <w:rFonts w:cstheme="minorHAnsi"/>
          <w:sz w:val="24"/>
          <w:szCs w:val="24"/>
        </w:rPr>
        <w:t>ZAKONSKE I DRUGE PRAVNE OSNOVE: Zakon o obrazovanju odraslih, Zakon o ustanovama, Zakon o odgoju i obrazovanju u osnovnoj i srednjoj školi, Zakon o proračunu i pravilnici iz tog područja, Pravilnik o standardima i normativima za izvođenje programa obrazovanja odraslih, Pravilnik o javnim ispravama u obrazovanju odraslih, Pravilnik o sadržaju, obliku te načinu vođenja i čuvanja andragoške dokumentacije, Pravilnik o evidencijama u obrazovanju odraslih, Zakon o fiskalnoj odgovornosti i Uredba o sastavljanju i predaji Izjave o fiskalnoj odgovornosti i izvještaja o primjeni fiskalnih pravila, Upute za izradu proračuna proračunskih korisnika, Školski kurikulum Učilišta, Godišnji plan i program rada u školskoj 2024./25. godini i školskoj 2025./26. godini.</w:t>
      </w:r>
    </w:p>
    <w:p w14:paraId="26BF825F" w14:textId="77777777" w:rsidR="00F377A6" w:rsidRPr="004C201E" w:rsidRDefault="00F377A6" w:rsidP="00516196">
      <w:pPr>
        <w:rPr>
          <w:rFonts w:cstheme="minorHAnsi"/>
          <w:sz w:val="18"/>
          <w:szCs w:val="18"/>
        </w:rPr>
      </w:pPr>
    </w:p>
    <w:p w14:paraId="430E13BA" w14:textId="77777777" w:rsidR="005673F1" w:rsidRPr="004C201E" w:rsidRDefault="005673F1" w:rsidP="00516196">
      <w:pPr>
        <w:rPr>
          <w:rFonts w:cstheme="minorHAnsi"/>
          <w:sz w:val="18"/>
          <w:szCs w:val="18"/>
        </w:rPr>
      </w:pPr>
    </w:p>
    <w:p w14:paraId="3CBC3EF2" w14:textId="77777777" w:rsidR="005673F1" w:rsidRPr="004C201E" w:rsidRDefault="005673F1" w:rsidP="00516196">
      <w:pPr>
        <w:rPr>
          <w:rFonts w:cstheme="minorHAnsi"/>
          <w:sz w:val="18"/>
          <w:szCs w:val="18"/>
        </w:rPr>
      </w:pPr>
    </w:p>
    <w:p w14:paraId="2FC86CF8" w14:textId="77777777" w:rsidR="005673F1" w:rsidRPr="004C201E" w:rsidRDefault="005673F1" w:rsidP="00516196">
      <w:pPr>
        <w:rPr>
          <w:rFonts w:cstheme="minorHAnsi"/>
          <w:sz w:val="18"/>
          <w:szCs w:val="18"/>
        </w:rPr>
      </w:pPr>
    </w:p>
    <w:p w14:paraId="7956A073" w14:textId="77777777" w:rsidR="005673F1" w:rsidRPr="004C201E" w:rsidRDefault="005673F1" w:rsidP="00516196">
      <w:pPr>
        <w:rPr>
          <w:rFonts w:cstheme="minorHAnsi"/>
          <w:sz w:val="18"/>
          <w:szCs w:val="18"/>
        </w:rPr>
      </w:pPr>
    </w:p>
    <w:p w14:paraId="09EB6B2E" w14:textId="77777777" w:rsidR="005673F1" w:rsidRPr="004C201E" w:rsidRDefault="005673F1" w:rsidP="00516196">
      <w:pPr>
        <w:rPr>
          <w:rFonts w:cstheme="minorHAnsi"/>
          <w:sz w:val="18"/>
          <w:szCs w:val="18"/>
        </w:rPr>
      </w:pPr>
    </w:p>
    <w:tbl>
      <w:tblPr>
        <w:tblStyle w:val="Reetkatablice"/>
        <w:tblpPr w:leftFromText="180" w:rightFromText="180" w:vertAnchor="text" w:horzAnchor="margin" w:tblpY="-566"/>
        <w:tblW w:w="14025" w:type="dxa"/>
        <w:tblInd w:w="0" w:type="dxa"/>
        <w:tblLayout w:type="fixed"/>
        <w:tblLook w:val="04A0" w:firstRow="1" w:lastRow="0" w:firstColumn="1" w:lastColumn="0" w:noHBand="0" w:noVBand="1"/>
      </w:tblPr>
      <w:tblGrid>
        <w:gridCol w:w="3539"/>
        <w:gridCol w:w="4110"/>
        <w:gridCol w:w="1842"/>
        <w:gridCol w:w="2408"/>
        <w:gridCol w:w="2126"/>
      </w:tblGrid>
      <w:tr w:rsidR="001B4390" w:rsidRPr="004C201E" w14:paraId="7CE78BD7" w14:textId="77777777" w:rsidTr="00D7048C">
        <w:trPr>
          <w:trHeight w:val="589"/>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6C9CA1B" w14:textId="77777777" w:rsidR="001B4390" w:rsidRPr="004C201E" w:rsidRDefault="001B4390" w:rsidP="00D7048C">
            <w:pPr>
              <w:spacing w:line="240" w:lineRule="auto"/>
              <w:jc w:val="center"/>
              <w:rPr>
                <w:rFonts w:cstheme="minorHAnsi"/>
                <w:sz w:val="20"/>
                <w:szCs w:val="20"/>
              </w:rPr>
            </w:pPr>
            <w:bookmarkStart w:id="0" w:name="_Hlk213224146"/>
            <w:r w:rsidRPr="004C201E">
              <w:rPr>
                <w:rFonts w:cstheme="minorHAnsi"/>
                <w:sz w:val="20"/>
                <w:szCs w:val="20"/>
              </w:rPr>
              <w:lastRenderedPageBreak/>
              <w:t>Program 1060</w:t>
            </w:r>
          </w:p>
          <w:p w14:paraId="165B4853"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Obrazloženje</w:t>
            </w:r>
          </w:p>
        </w:tc>
        <w:tc>
          <w:tcPr>
            <w:tcW w:w="4110" w:type="dxa"/>
            <w:vMerge w:val="restart"/>
            <w:tcBorders>
              <w:top w:val="single" w:sz="4" w:space="0" w:color="auto"/>
              <w:left w:val="single" w:sz="4" w:space="0" w:color="auto"/>
              <w:bottom w:val="single" w:sz="4" w:space="0" w:color="auto"/>
              <w:right w:val="single" w:sz="4" w:space="0" w:color="auto"/>
            </w:tcBorders>
            <w:vAlign w:val="center"/>
            <w:hideMark/>
          </w:tcPr>
          <w:p w14:paraId="46F25BD0" w14:textId="77777777" w:rsidR="001B4390" w:rsidRPr="004C201E" w:rsidRDefault="001B4390" w:rsidP="00D7048C">
            <w:pPr>
              <w:spacing w:line="240" w:lineRule="auto"/>
              <w:rPr>
                <w:rFonts w:cstheme="minorHAnsi"/>
                <w:sz w:val="20"/>
                <w:szCs w:val="20"/>
              </w:rPr>
            </w:pPr>
            <w:r w:rsidRPr="004C201E">
              <w:rPr>
                <w:rFonts w:cstheme="minorHAnsi"/>
                <w:sz w:val="20"/>
                <w:szCs w:val="20"/>
              </w:rPr>
              <w:t>Djelatnost Pučkog otvorenog učilišta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AB91539" w14:textId="3039F5ED" w:rsidR="001B4390" w:rsidRPr="004C201E" w:rsidRDefault="001B4390" w:rsidP="00D7048C">
            <w:pPr>
              <w:spacing w:line="240" w:lineRule="auto"/>
              <w:jc w:val="center"/>
              <w:rPr>
                <w:rFonts w:cstheme="minorHAnsi"/>
                <w:sz w:val="20"/>
                <w:szCs w:val="20"/>
              </w:rPr>
            </w:pPr>
            <w:r w:rsidRPr="004C201E">
              <w:rPr>
                <w:rFonts w:cstheme="minorHAnsi"/>
                <w:sz w:val="20"/>
                <w:szCs w:val="20"/>
              </w:rPr>
              <w:t>Tekući plan- Rebalans I za 2025. godinu</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97023AC"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Promjene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15298B"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Rebalans II 2025.</w:t>
            </w:r>
          </w:p>
        </w:tc>
      </w:tr>
      <w:tr w:rsidR="001B4390" w:rsidRPr="004C201E" w14:paraId="12FAEAF0" w14:textId="77777777" w:rsidTr="00D7048C">
        <w:trPr>
          <w:trHeight w:val="171"/>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9ECA8D8" w14:textId="77777777" w:rsidR="001B4390" w:rsidRPr="004C201E" w:rsidRDefault="001B4390" w:rsidP="00D7048C">
            <w:pPr>
              <w:spacing w:line="240" w:lineRule="auto"/>
              <w:rPr>
                <w:rFonts w:cstheme="minorHAnsi"/>
                <w:sz w:val="20"/>
                <w:szCs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67165C7B" w14:textId="77777777" w:rsidR="001B4390" w:rsidRPr="004C201E" w:rsidRDefault="001B4390" w:rsidP="00D7048C">
            <w:pPr>
              <w:spacing w:line="240" w:lineRule="auto"/>
              <w:rPr>
                <w:rFonts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FE6B7BE"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 xml:space="preserve">Izvorni plan </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123E4CB" w14:textId="77777777" w:rsidR="001B4390" w:rsidRPr="004C201E" w:rsidRDefault="001B4390" w:rsidP="00D7048C">
            <w:pPr>
              <w:spacing w:line="240" w:lineRule="auto"/>
              <w:rPr>
                <w:rFonts w:cstheme="minorHAnsi"/>
                <w:sz w:val="20"/>
                <w:szCs w:val="20"/>
              </w:rPr>
            </w:pPr>
            <w:r w:rsidRPr="004C201E">
              <w:rPr>
                <w:rFonts w:cstheme="minorHAnsi"/>
                <w:sz w:val="20"/>
                <w:szCs w:val="20"/>
              </w:rPr>
              <w:t>Povećanje/Smanjenje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0D0162"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Ukupno</w:t>
            </w:r>
          </w:p>
        </w:tc>
      </w:tr>
      <w:tr w:rsidR="001B4390" w:rsidRPr="004C201E" w14:paraId="7F21628B" w14:textId="77777777" w:rsidTr="00D7048C">
        <w:trPr>
          <w:trHeight w:val="30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F13C6F7" w14:textId="77777777" w:rsidR="001B4390" w:rsidRPr="004C201E" w:rsidRDefault="001B4390" w:rsidP="00D7048C">
            <w:pPr>
              <w:spacing w:line="240" w:lineRule="auto"/>
              <w:rPr>
                <w:rFonts w:cstheme="minorHAnsi"/>
                <w:sz w:val="20"/>
                <w:szCs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74C4BA09" w14:textId="77777777" w:rsidR="001B4390" w:rsidRPr="004C201E" w:rsidRDefault="001B4390" w:rsidP="00D7048C">
            <w:pPr>
              <w:spacing w:line="240" w:lineRule="auto"/>
              <w:rPr>
                <w:rFonts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A21CFF9"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289.115,13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E346218"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- 3.980,00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A3F600"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285.135,13</w:t>
            </w:r>
          </w:p>
        </w:tc>
      </w:tr>
      <w:tr w:rsidR="001B4390" w:rsidRPr="004C201E" w14:paraId="09FCA8A6" w14:textId="77777777" w:rsidTr="00D7048C">
        <w:trPr>
          <w:trHeight w:val="30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ECE7B23" w14:textId="77777777" w:rsidR="001B4390" w:rsidRPr="004C201E" w:rsidRDefault="001B4390" w:rsidP="00D7048C">
            <w:pPr>
              <w:spacing w:line="240" w:lineRule="auto"/>
              <w:rPr>
                <w:rFonts w:cstheme="minorHAnsi"/>
                <w:sz w:val="20"/>
                <w:szCs w:val="20"/>
              </w:rPr>
            </w:pPr>
          </w:p>
        </w:tc>
        <w:tc>
          <w:tcPr>
            <w:tcW w:w="10486" w:type="dxa"/>
            <w:gridSpan w:val="4"/>
            <w:tcBorders>
              <w:top w:val="single" w:sz="4" w:space="0" w:color="auto"/>
              <w:left w:val="single" w:sz="4" w:space="0" w:color="auto"/>
              <w:bottom w:val="single" w:sz="4" w:space="0" w:color="auto"/>
              <w:right w:val="single" w:sz="4" w:space="0" w:color="auto"/>
            </w:tcBorders>
            <w:hideMark/>
          </w:tcPr>
          <w:p w14:paraId="1256C54F" w14:textId="77777777" w:rsidR="001B4390" w:rsidRPr="004C201E" w:rsidRDefault="001B4390" w:rsidP="00D7048C">
            <w:pPr>
              <w:pStyle w:val="Odlomakpopisa"/>
              <w:rPr>
                <w:rFonts w:cstheme="minorHAnsi"/>
                <w:sz w:val="20"/>
                <w:szCs w:val="20"/>
              </w:rPr>
            </w:pPr>
            <w:r w:rsidRPr="004C201E">
              <w:rPr>
                <w:rFonts w:cstheme="minorHAnsi"/>
                <w:sz w:val="20"/>
                <w:szCs w:val="20"/>
              </w:rPr>
              <w:t>Financijski plan je smanjen za 3.980,00 eura u odnosu na tekući i iznosi 285.135,13 eura.</w:t>
            </w:r>
          </w:p>
          <w:p w14:paraId="25DC2824" w14:textId="50A84C99" w:rsidR="001B4390" w:rsidRPr="004C201E" w:rsidRDefault="001B4390" w:rsidP="00D7048C">
            <w:pPr>
              <w:pStyle w:val="Odlomakpopisa"/>
              <w:rPr>
                <w:rFonts w:cstheme="minorHAnsi"/>
                <w:sz w:val="20"/>
                <w:szCs w:val="20"/>
              </w:rPr>
            </w:pPr>
            <w:r w:rsidRPr="004C201E">
              <w:rPr>
                <w:rFonts w:cstheme="minorHAnsi"/>
                <w:sz w:val="20"/>
                <w:szCs w:val="20"/>
              </w:rPr>
              <w:t xml:space="preserve">Planira se manje sredstava od polaznika za sufinanciranje usluge participacije školarine za 4.500,00 eura. Ukupan planirani iznos sredstava od nadležnog proračuna je povećan za 520,00 eura na stavkama ostalih rashoda za zaposlene u skladu s aktima </w:t>
            </w:r>
            <w:r w:rsidR="00955C65">
              <w:rPr>
                <w:rFonts w:cstheme="minorHAnsi"/>
                <w:sz w:val="20"/>
                <w:szCs w:val="20"/>
              </w:rPr>
              <w:t>O</w:t>
            </w:r>
            <w:r w:rsidRPr="004C201E">
              <w:rPr>
                <w:rFonts w:cstheme="minorHAnsi"/>
                <w:sz w:val="20"/>
                <w:szCs w:val="20"/>
              </w:rPr>
              <w:t>snivača.</w:t>
            </w:r>
            <w:r w:rsidRPr="004C201E">
              <w:rPr>
                <w:rFonts w:cstheme="minorHAnsi"/>
                <w:color w:val="1F1F1F"/>
                <w:sz w:val="20"/>
                <w:szCs w:val="20"/>
                <w:shd w:val="clear" w:color="auto" w:fill="FFFFFF"/>
              </w:rPr>
              <w:t xml:space="preserve"> </w:t>
            </w:r>
            <w:r w:rsidR="00080AF6">
              <w:rPr>
                <w:rFonts w:cstheme="minorHAnsi"/>
                <w:color w:val="1F1F1F"/>
                <w:sz w:val="20"/>
                <w:szCs w:val="20"/>
                <w:shd w:val="clear" w:color="auto" w:fill="FFFFFF"/>
              </w:rPr>
              <w:t>Ostale stavke prihoda i rashoda su vidljive u tabelarnom prikazu.</w:t>
            </w:r>
          </w:p>
        </w:tc>
      </w:tr>
      <w:tr w:rsidR="001B4390" w:rsidRPr="004C201E" w14:paraId="667926CB" w14:textId="77777777" w:rsidTr="00D7048C">
        <w:trPr>
          <w:trHeight w:val="30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CDEAB4B" w14:textId="77777777" w:rsidR="001B4390" w:rsidRPr="004C201E" w:rsidRDefault="001B4390" w:rsidP="00D7048C">
            <w:pPr>
              <w:spacing w:line="240" w:lineRule="auto"/>
              <w:rPr>
                <w:rFonts w:cstheme="minorHAnsi"/>
                <w:sz w:val="20"/>
                <w:szCs w:val="20"/>
              </w:rPr>
            </w:pPr>
          </w:p>
        </w:tc>
        <w:tc>
          <w:tcPr>
            <w:tcW w:w="4110" w:type="dxa"/>
            <w:tcBorders>
              <w:top w:val="single" w:sz="4" w:space="0" w:color="auto"/>
              <w:left w:val="single" w:sz="4" w:space="0" w:color="auto"/>
              <w:bottom w:val="single" w:sz="4" w:space="0" w:color="auto"/>
              <w:right w:val="single" w:sz="4" w:space="0" w:color="auto"/>
            </w:tcBorders>
            <w:hideMark/>
          </w:tcPr>
          <w:p w14:paraId="455E1E8F" w14:textId="77777777" w:rsidR="001B4390" w:rsidRPr="004C201E" w:rsidRDefault="001B4390" w:rsidP="00D7048C">
            <w:pPr>
              <w:pStyle w:val="Odlomakpopisa"/>
              <w:rPr>
                <w:rFonts w:cstheme="minorHAnsi"/>
                <w:sz w:val="20"/>
                <w:szCs w:val="20"/>
              </w:rPr>
            </w:pPr>
            <w:r w:rsidRPr="004C201E">
              <w:rPr>
                <w:rFonts w:cstheme="minorHAnsi"/>
                <w:sz w:val="20"/>
                <w:szCs w:val="20"/>
              </w:rPr>
              <w:t>Pomoći od županije:</w:t>
            </w:r>
          </w:p>
        </w:tc>
        <w:tc>
          <w:tcPr>
            <w:tcW w:w="1842" w:type="dxa"/>
            <w:tcBorders>
              <w:top w:val="single" w:sz="4" w:space="0" w:color="auto"/>
              <w:left w:val="single" w:sz="4" w:space="0" w:color="auto"/>
              <w:bottom w:val="single" w:sz="4" w:space="0" w:color="auto"/>
              <w:right w:val="single" w:sz="4" w:space="0" w:color="auto"/>
            </w:tcBorders>
            <w:hideMark/>
          </w:tcPr>
          <w:p w14:paraId="46C72446" w14:textId="77777777" w:rsidR="001B4390" w:rsidRPr="004C201E" w:rsidRDefault="001B4390" w:rsidP="00D7048C">
            <w:pPr>
              <w:pStyle w:val="Odlomakpopisa"/>
              <w:rPr>
                <w:rFonts w:cstheme="minorHAnsi"/>
                <w:sz w:val="20"/>
                <w:szCs w:val="20"/>
              </w:rPr>
            </w:pPr>
            <w:r w:rsidRPr="004C201E">
              <w:rPr>
                <w:rFonts w:cstheme="minorHAnsi"/>
                <w:sz w:val="20"/>
                <w:szCs w:val="20"/>
              </w:rPr>
              <w:t>3.100,00</w:t>
            </w:r>
          </w:p>
        </w:tc>
        <w:tc>
          <w:tcPr>
            <w:tcW w:w="2408" w:type="dxa"/>
            <w:tcBorders>
              <w:top w:val="single" w:sz="4" w:space="0" w:color="auto"/>
              <w:left w:val="single" w:sz="4" w:space="0" w:color="auto"/>
              <w:bottom w:val="single" w:sz="4" w:space="0" w:color="auto"/>
              <w:right w:val="single" w:sz="4" w:space="0" w:color="auto"/>
            </w:tcBorders>
            <w:hideMark/>
          </w:tcPr>
          <w:p w14:paraId="60C7607A" w14:textId="77777777" w:rsidR="001B4390" w:rsidRPr="004C201E" w:rsidRDefault="001B4390" w:rsidP="00D7048C">
            <w:pPr>
              <w:pStyle w:val="Odlomakpopisa"/>
              <w:rPr>
                <w:rFonts w:cstheme="minorHAnsi"/>
                <w:sz w:val="20"/>
                <w:szCs w:val="20"/>
              </w:rPr>
            </w:pPr>
            <w:r w:rsidRPr="004C201E">
              <w:rPr>
                <w:rFonts w:cstheme="minorHAnsi"/>
                <w:sz w:val="20"/>
                <w:szCs w:val="20"/>
              </w:rPr>
              <w:t>0,00</w:t>
            </w:r>
          </w:p>
        </w:tc>
        <w:tc>
          <w:tcPr>
            <w:tcW w:w="2126" w:type="dxa"/>
            <w:tcBorders>
              <w:top w:val="single" w:sz="4" w:space="0" w:color="auto"/>
              <w:left w:val="single" w:sz="4" w:space="0" w:color="auto"/>
              <w:bottom w:val="single" w:sz="4" w:space="0" w:color="auto"/>
              <w:right w:val="single" w:sz="4" w:space="0" w:color="auto"/>
            </w:tcBorders>
            <w:hideMark/>
          </w:tcPr>
          <w:p w14:paraId="5BCD1A5C" w14:textId="77777777" w:rsidR="001B4390" w:rsidRPr="004C201E" w:rsidRDefault="001B4390" w:rsidP="00D7048C">
            <w:pPr>
              <w:pStyle w:val="Odlomakpopisa"/>
              <w:rPr>
                <w:rFonts w:cstheme="minorHAnsi"/>
                <w:sz w:val="20"/>
                <w:szCs w:val="20"/>
              </w:rPr>
            </w:pPr>
            <w:r w:rsidRPr="004C201E">
              <w:rPr>
                <w:rFonts w:cstheme="minorHAnsi"/>
                <w:sz w:val="20"/>
                <w:szCs w:val="20"/>
              </w:rPr>
              <w:t>3.100,00</w:t>
            </w:r>
          </w:p>
        </w:tc>
      </w:tr>
      <w:tr w:rsidR="001B4390" w:rsidRPr="004C201E" w14:paraId="1D214D5C" w14:textId="77777777" w:rsidTr="00D7048C">
        <w:trPr>
          <w:trHeight w:val="304"/>
        </w:trPr>
        <w:tc>
          <w:tcPr>
            <w:tcW w:w="3539" w:type="dxa"/>
            <w:tcBorders>
              <w:top w:val="single" w:sz="4" w:space="0" w:color="auto"/>
              <w:left w:val="single" w:sz="4" w:space="0" w:color="auto"/>
              <w:bottom w:val="single" w:sz="4" w:space="0" w:color="auto"/>
              <w:right w:val="single" w:sz="4" w:space="0" w:color="auto"/>
            </w:tcBorders>
            <w:vAlign w:val="center"/>
            <w:hideMark/>
          </w:tcPr>
          <w:p w14:paraId="50D21EC0" w14:textId="77777777" w:rsidR="001B4390" w:rsidRPr="004C201E" w:rsidRDefault="001B4390" w:rsidP="00D7048C">
            <w:pPr>
              <w:rPr>
                <w:rFonts w:cstheme="minorHAnsi"/>
                <w:sz w:val="20"/>
                <w:szCs w:val="20"/>
              </w:rPr>
            </w:pPr>
            <w:r w:rsidRPr="004C201E">
              <w:rPr>
                <w:rFonts w:cstheme="minorHAnsi"/>
                <w:sz w:val="20"/>
                <w:szCs w:val="20"/>
              </w:rPr>
              <w:t>Tekuće pomoći iz proračuna–PK vlastiti       Kapitalne pomoći iz proračuna-PK vlastiti</w:t>
            </w:r>
          </w:p>
        </w:tc>
        <w:tc>
          <w:tcPr>
            <w:tcW w:w="10486" w:type="dxa"/>
            <w:gridSpan w:val="4"/>
            <w:tcBorders>
              <w:top w:val="single" w:sz="4" w:space="0" w:color="auto"/>
              <w:left w:val="single" w:sz="4" w:space="0" w:color="auto"/>
              <w:bottom w:val="single" w:sz="4" w:space="0" w:color="auto"/>
              <w:right w:val="single" w:sz="4" w:space="0" w:color="auto"/>
            </w:tcBorders>
            <w:hideMark/>
          </w:tcPr>
          <w:p w14:paraId="716E500A" w14:textId="77777777" w:rsidR="00C81C2E" w:rsidRDefault="001B4390" w:rsidP="00C81C2E">
            <w:pPr>
              <w:pStyle w:val="Odlomakpopisa"/>
              <w:rPr>
                <w:rFonts w:cstheme="minorHAnsi"/>
                <w:sz w:val="20"/>
                <w:szCs w:val="20"/>
              </w:rPr>
            </w:pPr>
            <w:r w:rsidRPr="004C201E">
              <w:rPr>
                <w:rFonts w:cstheme="minorHAnsi"/>
                <w:sz w:val="20"/>
                <w:szCs w:val="20"/>
              </w:rPr>
              <w:t>Tekuće pomoći – izvođenje radova In Tense (betonske stope), 400,00 eura.</w:t>
            </w:r>
          </w:p>
          <w:p w14:paraId="27F27FE5" w14:textId="21C03C48" w:rsidR="001B4390" w:rsidRPr="00C81C2E" w:rsidRDefault="00C81C2E" w:rsidP="00C81C2E">
            <w:pPr>
              <w:pStyle w:val="Odlomakpopisa"/>
              <w:rPr>
                <w:rFonts w:cstheme="minorHAnsi"/>
                <w:sz w:val="20"/>
                <w:szCs w:val="20"/>
              </w:rPr>
            </w:pPr>
            <w:r>
              <w:rPr>
                <w:rFonts w:cstheme="minorHAnsi"/>
                <w:sz w:val="20"/>
                <w:szCs w:val="20"/>
              </w:rPr>
              <w:t xml:space="preserve">Kapitalne pomoći – nabava računala </w:t>
            </w:r>
            <w:r w:rsidR="00780F81">
              <w:rPr>
                <w:rFonts w:cstheme="minorHAnsi"/>
                <w:sz w:val="20"/>
                <w:szCs w:val="20"/>
              </w:rPr>
              <w:t>u vrijednosti 2.700,00 eura.</w:t>
            </w:r>
            <w:r w:rsidR="001B4390" w:rsidRPr="00C81C2E">
              <w:rPr>
                <w:rFonts w:cstheme="minorHAnsi"/>
                <w:sz w:val="20"/>
                <w:szCs w:val="20"/>
              </w:rPr>
              <w:t xml:space="preserve">                        </w:t>
            </w:r>
          </w:p>
        </w:tc>
      </w:tr>
      <w:tr w:rsidR="001B4390" w:rsidRPr="004C201E" w14:paraId="291C48E1" w14:textId="77777777" w:rsidTr="00D7048C">
        <w:trPr>
          <w:trHeight w:val="304"/>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21A17BBF" w14:textId="77777777" w:rsidR="001B4390" w:rsidRPr="004C201E" w:rsidRDefault="001B4390" w:rsidP="00D7048C">
            <w:pPr>
              <w:spacing w:line="240" w:lineRule="auto"/>
              <w:rPr>
                <w:rFonts w:cstheme="minorHAnsi"/>
                <w:sz w:val="20"/>
                <w:szCs w:val="20"/>
              </w:rPr>
            </w:pPr>
            <w:r w:rsidRPr="004C201E">
              <w:rPr>
                <w:rFonts w:cstheme="minorHAnsi"/>
                <w:sz w:val="20"/>
                <w:szCs w:val="20"/>
              </w:rPr>
              <w:t>Tekuće pomoći iz proračuna – PK vlastiti</w:t>
            </w:r>
          </w:p>
          <w:p w14:paraId="4B150024" w14:textId="77777777" w:rsidR="001B4390" w:rsidRPr="004C201E" w:rsidRDefault="001B4390" w:rsidP="00D7048C">
            <w:pPr>
              <w:rPr>
                <w:rFonts w:cstheme="minorHAnsi"/>
                <w:sz w:val="20"/>
                <w:szCs w:val="20"/>
              </w:rPr>
            </w:pPr>
          </w:p>
          <w:p w14:paraId="7FB32FEE" w14:textId="77777777" w:rsidR="001B4390" w:rsidRPr="004C201E" w:rsidRDefault="001B4390" w:rsidP="00D7048C">
            <w:pPr>
              <w:rPr>
                <w:rFonts w:cstheme="minorHAnsi"/>
                <w:sz w:val="20"/>
                <w:szCs w:val="20"/>
              </w:rPr>
            </w:pPr>
          </w:p>
          <w:p w14:paraId="1842A8E9" w14:textId="77777777" w:rsidR="001B4390" w:rsidRPr="004C201E" w:rsidRDefault="001B4390" w:rsidP="00D7048C">
            <w:pPr>
              <w:rPr>
                <w:rFonts w:cstheme="minorHAnsi"/>
                <w:sz w:val="20"/>
                <w:szCs w:val="20"/>
              </w:rPr>
            </w:pPr>
          </w:p>
          <w:p w14:paraId="5056B867" w14:textId="77777777" w:rsidR="001B4390" w:rsidRPr="004C201E" w:rsidRDefault="001B4390" w:rsidP="00D7048C">
            <w:pPr>
              <w:rPr>
                <w:rFonts w:cstheme="minorHAnsi"/>
                <w:sz w:val="20"/>
                <w:szCs w:val="20"/>
              </w:rPr>
            </w:pPr>
          </w:p>
        </w:tc>
        <w:tc>
          <w:tcPr>
            <w:tcW w:w="4110" w:type="dxa"/>
            <w:tcBorders>
              <w:top w:val="single" w:sz="4" w:space="0" w:color="auto"/>
              <w:left w:val="single" w:sz="4" w:space="0" w:color="auto"/>
              <w:bottom w:val="single" w:sz="4" w:space="0" w:color="auto"/>
              <w:right w:val="single" w:sz="4" w:space="0" w:color="auto"/>
            </w:tcBorders>
            <w:hideMark/>
          </w:tcPr>
          <w:p w14:paraId="29ED2561" w14:textId="77777777" w:rsidR="001B4390" w:rsidRPr="004C201E" w:rsidRDefault="001B4390" w:rsidP="00D7048C">
            <w:pPr>
              <w:spacing w:line="240" w:lineRule="auto"/>
              <w:rPr>
                <w:rFonts w:cstheme="minorHAnsi"/>
                <w:sz w:val="20"/>
                <w:szCs w:val="20"/>
              </w:rPr>
            </w:pPr>
            <w:r w:rsidRPr="004C201E">
              <w:rPr>
                <w:rFonts w:cstheme="minorHAnsi"/>
                <w:sz w:val="20"/>
                <w:szCs w:val="20"/>
              </w:rPr>
              <w:t>Pomoći od Ministarstva kulture i medija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9BFCB8A"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11.000,00</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DF023AF"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95AD0B"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11.000,00</w:t>
            </w:r>
          </w:p>
        </w:tc>
      </w:tr>
      <w:tr w:rsidR="001B4390" w:rsidRPr="004C201E" w14:paraId="3835B00D" w14:textId="77777777" w:rsidTr="00D7048C">
        <w:trPr>
          <w:trHeight w:val="30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D2496F6" w14:textId="77777777" w:rsidR="001B4390" w:rsidRPr="004C201E" w:rsidRDefault="001B4390" w:rsidP="00D7048C">
            <w:pPr>
              <w:spacing w:line="240" w:lineRule="auto"/>
              <w:rPr>
                <w:rFonts w:cstheme="minorHAnsi"/>
                <w:sz w:val="20"/>
                <w:szCs w:val="20"/>
              </w:rPr>
            </w:pPr>
          </w:p>
        </w:tc>
        <w:tc>
          <w:tcPr>
            <w:tcW w:w="10486" w:type="dxa"/>
            <w:gridSpan w:val="4"/>
            <w:tcBorders>
              <w:top w:val="single" w:sz="4" w:space="0" w:color="auto"/>
              <w:left w:val="single" w:sz="4" w:space="0" w:color="auto"/>
              <w:bottom w:val="single" w:sz="4" w:space="0" w:color="auto"/>
              <w:right w:val="single" w:sz="4" w:space="0" w:color="auto"/>
            </w:tcBorders>
            <w:hideMark/>
          </w:tcPr>
          <w:p w14:paraId="3FC03030" w14:textId="77777777" w:rsidR="001B4390" w:rsidRPr="004C201E" w:rsidRDefault="001B4390" w:rsidP="00D7048C">
            <w:pPr>
              <w:pStyle w:val="Odlomakpopisa"/>
              <w:tabs>
                <w:tab w:val="left" w:pos="420"/>
              </w:tabs>
              <w:rPr>
                <w:rFonts w:cstheme="minorHAnsi"/>
                <w:sz w:val="20"/>
                <w:szCs w:val="20"/>
              </w:rPr>
            </w:pPr>
            <w:r w:rsidRPr="004C201E">
              <w:rPr>
                <w:rFonts w:cstheme="minorHAnsi"/>
                <w:sz w:val="20"/>
                <w:szCs w:val="20"/>
              </w:rPr>
              <w:t>Tekuće pomoći od Ministarstva kulture i medija iznose 11.000,00 eura.</w:t>
            </w:r>
          </w:p>
          <w:p w14:paraId="4B056C97" w14:textId="1A042093" w:rsidR="001B4390" w:rsidRPr="004C201E" w:rsidRDefault="001B4390" w:rsidP="00D7048C">
            <w:pPr>
              <w:pStyle w:val="Odlomakpopisa"/>
              <w:tabs>
                <w:tab w:val="left" w:pos="420"/>
              </w:tabs>
              <w:rPr>
                <w:rFonts w:cstheme="minorHAnsi"/>
                <w:sz w:val="20"/>
                <w:szCs w:val="20"/>
              </w:rPr>
            </w:pPr>
            <w:r w:rsidRPr="004C201E">
              <w:rPr>
                <w:rFonts w:cstheme="minorHAnsi"/>
                <w:sz w:val="20"/>
                <w:szCs w:val="20"/>
              </w:rPr>
              <w:t>Izmjena unutarnje stolarije u ukupnoj vrijednosti iznosi 14.040,00 eura. Financiran</w:t>
            </w:r>
            <w:r w:rsidR="00793B56">
              <w:rPr>
                <w:rFonts w:cstheme="minorHAnsi"/>
                <w:sz w:val="20"/>
                <w:szCs w:val="20"/>
              </w:rPr>
              <w:t>a</w:t>
            </w:r>
            <w:r w:rsidRPr="004C201E">
              <w:rPr>
                <w:rFonts w:cstheme="minorHAnsi"/>
                <w:sz w:val="20"/>
                <w:szCs w:val="20"/>
              </w:rPr>
              <w:t xml:space="preserve"> je s 10.000,00 eura sredstava Ministarstva i 4.040,00 eura vlastitih sredstava Učilišta.</w:t>
            </w:r>
          </w:p>
          <w:p w14:paraId="2A23BDD0" w14:textId="6C27B1FE" w:rsidR="001B4390" w:rsidRPr="004C201E" w:rsidRDefault="001B4390" w:rsidP="00D7048C">
            <w:pPr>
              <w:pStyle w:val="Odlomakpopisa"/>
              <w:tabs>
                <w:tab w:val="left" w:pos="420"/>
              </w:tabs>
              <w:rPr>
                <w:rFonts w:cstheme="minorHAnsi"/>
                <w:sz w:val="20"/>
                <w:szCs w:val="20"/>
              </w:rPr>
            </w:pPr>
            <w:r w:rsidRPr="004C201E">
              <w:rPr>
                <w:rFonts w:cstheme="minorHAnsi"/>
                <w:sz w:val="20"/>
                <w:szCs w:val="20"/>
              </w:rPr>
              <w:t>1.000,00 eura Je Ministarstvo dodijelilo Učilištu za financiranje Programa interdisciplinarnih i novih umjetničkih i kulturnih praksi: „Strukturna instalacija In Tense“</w:t>
            </w:r>
            <w:r w:rsidR="00FB04B4">
              <w:rPr>
                <w:rFonts w:cstheme="minorHAnsi"/>
                <w:sz w:val="20"/>
                <w:szCs w:val="20"/>
              </w:rPr>
              <w:t>.</w:t>
            </w:r>
          </w:p>
        </w:tc>
      </w:tr>
      <w:tr w:rsidR="001B4390" w:rsidRPr="004C201E" w14:paraId="33A2F889" w14:textId="77777777" w:rsidTr="00D7048C">
        <w:trPr>
          <w:trHeight w:val="304"/>
        </w:trPr>
        <w:tc>
          <w:tcPr>
            <w:tcW w:w="3539" w:type="dxa"/>
            <w:vMerge w:val="restart"/>
            <w:tcBorders>
              <w:top w:val="single" w:sz="4" w:space="0" w:color="auto"/>
              <w:left w:val="single" w:sz="4" w:space="0" w:color="auto"/>
              <w:bottom w:val="single" w:sz="4" w:space="0" w:color="auto"/>
              <w:right w:val="single" w:sz="4" w:space="0" w:color="auto"/>
            </w:tcBorders>
            <w:hideMark/>
          </w:tcPr>
          <w:p w14:paraId="7EAFB43E" w14:textId="77777777" w:rsidR="001B4390" w:rsidRPr="004C201E" w:rsidRDefault="001B4390" w:rsidP="00445079">
            <w:pPr>
              <w:spacing w:line="240" w:lineRule="auto"/>
              <w:jc w:val="center"/>
              <w:rPr>
                <w:rFonts w:cstheme="minorHAnsi"/>
                <w:sz w:val="20"/>
                <w:szCs w:val="20"/>
              </w:rPr>
            </w:pPr>
            <w:r w:rsidRPr="004C201E">
              <w:rPr>
                <w:rFonts w:cstheme="minorHAnsi"/>
                <w:sz w:val="20"/>
                <w:szCs w:val="20"/>
              </w:rPr>
              <w:t>Aktivnost A106002</w:t>
            </w:r>
          </w:p>
          <w:p w14:paraId="35A2A057" w14:textId="77777777" w:rsidR="001B4390" w:rsidRPr="004C201E" w:rsidRDefault="001B4390" w:rsidP="00445079">
            <w:pPr>
              <w:spacing w:line="240" w:lineRule="auto"/>
              <w:jc w:val="center"/>
              <w:rPr>
                <w:rFonts w:cstheme="minorHAnsi"/>
                <w:sz w:val="20"/>
                <w:szCs w:val="20"/>
              </w:rPr>
            </w:pPr>
            <w:r w:rsidRPr="004C201E">
              <w:rPr>
                <w:rFonts w:cstheme="minorHAnsi"/>
                <w:sz w:val="20"/>
                <w:szCs w:val="20"/>
              </w:rPr>
              <w:t>Obrazloženje</w:t>
            </w:r>
          </w:p>
        </w:tc>
        <w:tc>
          <w:tcPr>
            <w:tcW w:w="4110" w:type="dxa"/>
            <w:tcBorders>
              <w:top w:val="single" w:sz="4" w:space="0" w:color="auto"/>
              <w:left w:val="single" w:sz="4" w:space="0" w:color="auto"/>
              <w:bottom w:val="single" w:sz="4" w:space="0" w:color="auto"/>
              <w:right w:val="single" w:sz="4" w:space="0" w:color="auto"/>
            </w:tcBorders>
            <w:hideMark/>
          </w:tcPr>
          <w:p w14:paraId="3AEE0026" w14:textId="77777777" w:rsidR="001B4390" w:rsidRPr="004C201E" w:rsidRDefault="001B4390" w:rsidP="00D7048C">
            <w:pPr>
              <w:spacing w:line="240" w:lineRule="auto"/>
              <w:rPr>
                <w:rFonts w:cstheme="minorHAnsi"/>
                <w:sz w:val="20"/>
                <w:szCs w:val="20"/>
              </w:rPr>
            </w:pPr>
            <w:r w:rsidRPr="004C201E">
              <w:rPr>
                <w:rFonts w:cstheme="minorHAnsi"/>
                <w:sz w:val="20"/>
                <w:szCs w:val="20"/>
              </w:rPr>
              <w:t>Sponzorstva- izložbe i koncerti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78883C6"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4.000,00</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B343832"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-2.000,00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5C93E9"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2.000,00</w:t>
            </w:r>
          </w:p>
        </w:tc>
      </w:tr>
      <w:tr w:rsidR="001B4390" w:rsidRPr="004C201E" w14:paraId="36D4EB24" w14:textId="77777777" w:rsidTr="00D7048C">
        <w:trPr>
          <w:trHeight w:val="30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0E255DAA" w14:textId="77777777" w:rsidR="001B4390" w:rsidRPr="004C201E" w:rsidRDefault="001B4390" w:rsidP="00D7048C">
            <w:pPr>
              <w:spacing w:line="240" w:lineRule="auto"/>
              <w:rPr>
                <w:rFonts w:cstheme="minorHAnsi"/>
                <w:sz w:val="20"/>
                <w:szCs w:val="20"/>
              </w:rPr>
            </w:pPr>
          </w:p>
        </w:tc>
        <w:tc>
          <w:tcPr>
            <w:tcW w:w="10486" w:type="dxa"/>
            <w:gridSpan w:val="4"/>
            <w:tcBorders>
              <w:top w:val="single" w:sz="4" w:space="0" w:color="auto"/>
              <w:left w:val="single" w:sz="4" w:space="0" w:color="auto"/>
              <w:bottom w:val="single" w:sz="4" w:space="0" w:color="auto"/>
              <w:right w:val="single" w:sz="4" w:space="0" w:color="auto"/>
            </w:tcBorders>
            <w:hideMark/>
          </w:tcPr>
          <w:p w14:paraId="4A86F795" w14:textId="62E0FBC5" w:rsidR="001B4390" w:rsidRPr="004C201E" w:rsidRDefault="001B4390" w:rsidP="00D7048C">
            <w:pPr>
              <w:pStyle w:val="Odlomakpopisa"/>
              <w:numPr>
                <w:ilvl w:val="0"/>
                <w:numId w:val="2"/>
              </w:numPr>
              <w:spacing w:line="240" w:lineRule="auto"/>
              <w:rPr>
                <w:rFonts w:cstheme="minorHAnsi"/>
                <w:sz w:val="20"/>
                <w:szCs w:val="20"/>
              </w:rPr>
            </w:pPr>
            <w:r w:rsidRPr="004C201E">
              <w:rPr>
                <w:rFonts w:cstheme="minorHAnsi"/>
                <w:sz w:val="20"/>
                <w:szCs w:val="20"/>
              </w:rPr>
              <w:t>Iz vlastitih prihoda Učilišta planira</w:t>
            </w:r>
            <w:r w:rsidR="00FB04B4">
              <w:rPr>
                <w:rFonts w:cstheme="minorHAnsi"/>
                <w:sz w:val="20"/>
                <w:szCs w:val="20"/>
              </w:rPr>
              <w:t>no</w:t>
            </w:r>
            <w:r w:rsidRPr="004C201E">
              <w:rPr>
                <w:rFonts w:cstheme="minorHAnsi"/>
                <w:sz w:val="20"/>
                <w:szCs w:val="20"/>
              </w:rPr>
              <w:t xml:space="preserve"> </w:t>
            </w:r>
            <w:r w:rsidR="00FB04B4">
              <w:rPr>
                <w:rFonts w:cstheme="minorHAnsi"/>
                <w:sz w:val="20"/>
                <w:szCs w:val="20"/>
              </w:rPr>
              <w:t>j</w:t>
            </w:r>
            <w:r w:rsidRPr="004C201E">
              <w:rPr>
                <w:rFonts w:cstheme="minorHAnsi"/>
                <w:sz w:val="20"/>
                <w:szCs w:val="20"/>
              </w:rPr>
              <w:t>e sponzoriranje različitih sportskih i kulturnih događanja u gradu u iznosu od 2.000,00 eura</w:t>
            </w:r>
            <w:r w:rsidR="00FB04B4">
              <w:rPr>
                <w:rFonts w:cstheme="minorHAnsi"/>
                <w:sz w:val="20"/>
                <w:szCs w:val="20"/>
              </w:rPr>
              <w:t>.</w:t>
            </w:r>
          </w:p>
        </w:tc>
      </w:tr>
      <w:tr w:rsidR="001B4390" w:rsidRPr="004C201E" w14:paraId="421268AB" w14:textId="77777777" w:rsidTr="00D7048C">
        <w:trPr>
          <w:trHeight w:val="304"/>
        </w:trPr>
        <w:tc>
          <w:tcPr>
            <w:tcW w:w="3539" w:type="dxa"/>
            <w:vMerge w:val="restart"/>
            <w:tcBorders>
              <w:top w:val="single" w:sz="4" w:space="0" w:color="auto"/>
              <w:left w:val="single" w:sz="4" w:space="0" w:color="auto"/>
              <w:bottom w:val="single" w:sz="4" w:space="0" w:color="auto"/>
              <w:right w:val="single" w:sz="4" w:space="0" w:color="auto"/>
            </w:tcBorders>
            <w:hideMark/>
          </w:tcPr>
          <w:p w14:paraId="214DA004"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Kapitalni projekt K106001</w:t>
            </w:r>
          </w:p>
          <w:p w14:paraId="3A008E6C"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Obrazloženje</w:t>
            </w:r>
          </w:p>
        </w:tc>
        <w:tc>
          <w:tcPr>
            <w:tcW w:w="4110" w:type="dxa"/>
            <w:tcBorders>
              <w:top w:val="single" w:sz="4" w:space="0" w:color="auto"/>
              <w:left w:val="single" w:sz="4" w:space="0" w:color="auto"/>
              <w:bottom w:val="single" w:sz="4" w:space="0" w:color="auto"/>
              <w:right w:val="single" w:sz="4" w:space="0" w:color="auto"/>
            </w:tcBorders>
            <w:hideMark/>
          </w:tcPr>
          <w:p w14:paraId="42649E53" w14:textId="77777777" w:rsidR="001B4390" w:rsidRPr="004C201E" w:rsidRDefault="001B4390" w:rsidP="00D7048C">
            <w:pPr>
              <w:spacing w:line="240" w:lineRule="auto"/>
              <w:rPr>
                <w:rFonts w:cstheme="minorHAnsi"/>
                <w:sz w:val="20"/>
                <w:szCs w:val="20"/>
              </w:rPr>
            </w:pPr>
            <w:r w:rsidRPr="004C201E">
              <w:rPr>
                <w:rFonts w:cstheme="minorHAnsi"/>
                <w:sz w:val="20"/>
                <w:szCs w:val="20"/>
              </w:rPr>
              <w:t>Nabava uredske i računalne opreme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1AAEDF"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11.893,13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FB356E2" w14:textId="51133C54" w:rsidR="001B4390" w:rsidRPr="004C201E" w:rsidRDefault="000802A5" w:rsidP="00D7048C">
            <w:pPr>
              <w:spacing w:line="240" w:lineRule="auto"/>
              <w:jc w:val="center"/>
              <w:rPr>
                <w:rFonts w:cstheme="minorHAnsi"/>
                <w:sz w:val="20"/>
                <w:szCs w:val="20"/>
              </w:rPr>
            </w:pPr>
            <w:r>
              <w:rPr>
                <w:rFonts w:cstheme="minorHAnsi"/>
                <w:sz w:val="20"/>
                <w:szCs w:val="20"/>
              </w:rPr>
              <w:t>- 1.700,00</w:t>
            </w:r>
          </w:p>
        </w:tc>
        <w:tc>
          <w:tcPr>
            <w:tcW w:w="2126" w:type="dxa"/>
            <w:tcBorders>
              <w:top w:val="single" w:sz="4" w:space="0" w:color="auto"/>
              <w:left w:val="single" w:sz="4" w:space="0" w:color="auto"/>
              <w:bottom w:val="single" w:sz="4" w:space="0" w:color="auto"/>
              <w:right w:val="single" w:sz="4" w:space="0" w:color="auto"/>
            </w:tcBorders>
            <w:hideMark/>
          </w:tcPr>
          <w:p w14:paraId="1E190CF2"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10.193,13</w:t>
            </w:r>
          </w:p>
        </w:tc>
      </w:tr>
      <w:tr w:rsidR="001B4390" w:rsidRPr="004C201E" w14:paraId="05C3F625" w14:textId="77777777" w:rsidTr="00D7048C">
        <w:trPr>
          <w:trHeight w:val="304"/>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7465045" w14:textId="77777777" w:rsidR="001B4390" w:rsidRPr="004C201E" w:rsidRDefault="001B4390" w:rsidP="00D7048C">
            <w:pPr>
              <w:spacing w:line="240" w:lineRule="auto"/>
              <w:rPr>
                <w:rFonts w:cstheme="minorHAnsi"/>
                <w:sz w:val="20"/>
                <w:szCs w:val="20"/>
              </w:rPr>
            </w:pPr>
          </w:p>
        </w:tc>
        <w:tc>
          <w:tcPr>
            <w:tcW w:w="10486" w:type="dxa"/>
            <w:gridSpan w:val="4"/>
            <w:tcBorders>
              <w:top w:val="single" w:sz="4" w:space="0" w:color="auto"/>
              <w:left w:val="single" w:sz="4" w:space="0" w:color="auto"/>
              <w:bottom w:val="single" w:sz="4" w:space="0" w:color="auto"/>
              <w:right w:val="single" w:sz="4" w:space="0" w:color="auto"/>
            </w:tcBorders>
            <w:hideMark/>
          </w:tcPr>
          <w:p w14:paraId="3F825357" w14:textId="77777777" w:rsidR="001B4390" w:rsidRPr="004C201E" w:rsidRDefault="001B4390" w:rsidP="00D7048C">
            <w:pPr>
              <w:pStyle w:val="Odlomakpopisa"/>
              <w:numPr>
                <w:ilvl w:val="0"/>
                <w:numId w:val="2"/>
              </w:numPr>
              <w:spacing w:line="240" w:lineRule="auto"/>
              <w:rPr>
                <w:rFonts w:cstheme="minorHAnsi"/>
                <w:sz w:val="20"/>
                <w:szCs w:val="20"/>
              </w:rPr>
            </w:pPr>
            <w:r w:rsidRPr="004C201E">
              <w:rPr>
                <w:rFonts w:cstheme="minorHAnsi"/>
                <w:sz w:val="20"/>
                <w:szCs w:val="20"/>
              </w:rPr>
              <w:t>Planira se nabava opreme za učilište u iznosu od 10.193,13 eura</w:t>
            </w:r>
          </w:p>
        </w:tc>
      </w:tr>
      <w:tr w:rsidR="001B4390" w:rsidRPr="004C201E" w14:paraId="6890B6C5" w14:textId="77777777" w:rsidTr="00D7048C">
        <w:trPr>
          <w:trHeight w:val="160"/>
        </w:trPr>
        <w:tc>
          <w:tcPr>
            <w:tcW w:w="3539" w:type="dxa"/>
            <w:tcBorders>
              <w:top w:val="single" w:sz="4" w:space="0" w:color="auto"/>
              <w:left w:val="single" w:sz="4" w:space="0" w:color="auto"/>
              <w:bottom w:val="single" w:sz="4" w:space="0" w:color="auto"/>
              <w:right w:val="single" w:sz="4" w:space="0" w:color="auto"/>
            </w:tcBorders>
            <w:vAlign w:val="center"/>
            <w:hideMark/>
          </w:tcPr>
          <w:p w14:paraId="49C68C22"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Ciljevi: opći i posebni</w:t>
            </w:r>
          </w:p>
        </w:tc>
        <w:tc>
          <w:tcPr>
            <w:tcW w:w="10486" w:type="dxa"/>
            <w:gridSpan w:val="4"/>
            <w:tcBorders>
              <w:top w:val="single" w:sz="4" w:space="0" w:color="auto"/>
              <w:left w:val="single" w:sz="4" w:space="0" w:color="auto"/>
              <w:bottom w:val="single" w:sz="4" w:space="0" w:color="auto"/>
              <w:right w:val="single" w:sz="4" w:space="0" w:color="auto"/>
            </w:tcBorders>
            <w:hideMark/>
          </w:tcPr>
          <w:p w14:paraId="60FAD203" w14:textId="77777777" w:rsidR="001B4390" w:rsidRPr="004C201E" w:rsidRDefault="001B4390" w:rsidP="00D7048C">
            <w:pPr>
              <w:pStyle w:val="Odlomakpopisa"/>
              <w:numPr>
                <w:ilvl w:val="0"/>
                <w:numId w:val="2"/>
              </w:numPr>
              <w:spacing w:line="240" w:lineRule="auto"/>
              <w:rPr>
                <w:rFonts w:cstheme="minorHAnsi"/>
                <w:sz w:val="20"/>
                <w:szCs w:val="20"/>
              </w:rPr>
            </w:pPr>
            <w:r w:rsidRPr="004C201E">
              <w:rPr>
                <w:rFonts w:cstheme="minorHAnsi"/>
                <w:sz w:val="20"/>
                <w:szCs w:val="20"/>
              </w:rPr>
              <w:t>Postizanje kvalitetnog redovnog poslovanja i opremanja Učilišta.</w:t>
            </w:r>
          </w:p>
          <w:p w14:paraId="115798E1" w14:textId="77777777" w:rsidR="001B4390" w:rsidRPr="004C201E" w:rsidRDefault="001B4390" w:rsidP="00D7048C">
            <w:pPr>
              <w:pStyle w:val="Odlomakpopisa"/>
              <w:numPr>
                <w:ilvl w:val="0"/>
                <w:numId w:val="2"/>
              </w:numPr>
              <w:spacing w:line="240" w:lineRule="auto"/>
              <w:rPr>
                <w:rFonts w:cstheme="minorHAnsi"/>
                <w:sz w:val="20"/>
                <w:szCs w:val="20"/>
              </w:rPr>
            </w:pPr>
            <w:r w:rsidRPr="004C201E">
              <w:rPr>
                <w:rFonts w:cstheme="minorHAnsi"/>
                <w:sz w:val="20"/>
                <w:szCs w:val="20"/>
              </w:rPr>
              <w:t>Dostupnost obrazovanja za sve kategorije građana, prvenstveno odraslih osoba kroz programe stjecanja, prekvalifikacije, osposobljavanja, usavršavanja, djelomičnih kvalifikacija, mikrokvalifikacija i neformalnih programa.</w:t>
            </w:r>
          </w:p>
        </w:tc>
      </w:tr>
      <w:tr w:rsidR="001B4390" w:rsidRPr="004C201E" w14:paraId="7090FAD1" w14:textId="77777777" w:rsidTr="00D7048C">
        <w:trPr>
          <w:trHeight w:val="304"/>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2C084E7"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Pokazatelj uspješnosti</w:t>
            </w:r>
          </w:p>
        </w:tc>
        <w:tc>
          <w:tcPr>
            <w:tcW w:w="4110" w:type="dxa"/>
            <w:tcBorders>
              <w:top w:val="single" w:sz="4" w:space="0" w:color="auto"/>
              <w:left w:val="single" w:sz="4" w:space="0" w:color="auto"/>
              <w:bottom w:val="single" w:sz="4" w:space="0" w:color="auto"/>
              <w:right w:val="single" w:sz="4" w:space="0" w:color="auto"/>
            </w:tcBorders>
            <w:hideMark/>
          </w:tcPr>
          <w:p w14:paraId="7EB74384" w14:textId="77777777" w:rsidR="001B4390" w:rsidRPr="004C201E" w:rsidRDefault="001B4390" w:rsidP="00D7048C">
            <w:pPr>
              <w:spacing w:line="240" w:lineRule="auto"/>
              <w:rPr>
                <w:rFonts w:cstheme="minorHAnsi"/>
                <w:sz w:val="20"/>
                <w:szCs w:val="20"/>
              </w:rPr>
            </w:pPr>
            <w:r w:rsidRPr="004C201E">
              <w:rPr>
                <w:rFonts w:cstheme="minorHAnsi"/>
                <w:sz w:val="20"/>
                <w:szCs w:val="20"/>
              </w:rPr>
              <w:t>Definicija</w:t>
            </w:r>
          </w:p>
        </w:tc>
        <w:tc>
          <w:tcPr>
            <w:tcW w:w="1842" w:type="dxa"/>
            <w:tcBorders>
              <w:top w:val="single" w:sz="4" w:space="0" w:color="auto"/>
              <w:left w:val="single" w:sz="4" w:space="0" w:color="auto"/>
              <w:bottom w:val="single" w:sz="4" w:space="0" w:color="auto"/>
              <w:right w:val="single" w:sz="4" w:space="0" w:color="auto"/>
            </w:tcBorders>
            <w:hideMark/>
          </w:tcPr>
          <w:p w14:paraId="57A62898" w14:textId="77777777" w:rsidR="001B4390" w:rsidRPr="004C201E" w:rsidRDefault="001B4390" w:rsidP="00D7048C">
            <w:pPr>
              <w:spacing w:line="240" w:lineRule="auto"/>
              <w:rPr>
                <w:rFonts w:cstheme="minorHAnsi"/>
                <w:sz w:val="20"/>
                <w:szCs w:val="20"/>
              </w:rPr>
            </w:pPr>
            <w:r w:rsidRPr="004C201E">
              <w:rPr>
                <w:rFonts w:cstheme="minorHAnsi"/>
                <w:sz w:val="20"/>
                <w:szCs w:val="20"/>
              </w:rPr>
              <w:t>Jedinica</w:t>
            </w:r>
          </w:p>
        </w:tc>
        <w:tc>
          <w:tcPr>
            <w:tcW w:w="2408" w:type="dxa"/>
            <w:tcBorders>
              <w:top w:val="single" w:sz="4" w:space="0" w:color="auto"/>
              <w:left w:val="single" w:sz="4" w:space="0" w:color="auto"/>
              <w:bottom w:val="single" w:sz="4" w:space="0" w:color="auto"/>
              <w:right w:val="single" w:sz="4" w:space="0" w:color="auto"/>
            </w:tcBorders>
            <w:hideMark/>
          </w:tcPr>
          <w:p w14:paraId="1C7042FC" w14:textId="77777777" w:rsidR="001B4390" w:rsidRPr="004C201E" w:rsidRDefault="001B4390" w:rsidP="00D7048C">
            <w:pPr>
              <w:spacing w:line="240" w:lineRule="auto"/>
              <w:rPr>
                <w:rFonts w:cstheme="minorHAnsi"/>
                <w:sz w:val="20"/>
                <w:szCs w:val="20"/>
              </w:rPr>
            </w:pPr>
            <w:r w:rsidRPr="004C201E">
              <w:rPr>
                <w:rFonts w:cstheme="minorHAnsi"/>
                <w:sz w:val="20"/>
                <w:szCs w:val="20"/>
              </w:rPr>
              <w:t>Polazna osnova 2024.</w:t>
            </w:r>
          </w:p>
        </w:tc>
        <w:tc>
          <w:tcPr>
            <w:tcW w:w="2126" w:type="dxa"/>
            <w:tcBorders>
              <w:top w:val="single" w:sz="4" w:space="0" w:color="auto"/>
              <w:left w:val="single" w:sz="4" w:space="0" w:color="auto"/>
              <w:bottom w:val="single" w:sz="4" w:space="0" w:color="auto"/>
              <w:right w:val="single" w:sz="4" w:space="0" w:color="auto"/>
            </w:tcBorders>
            <w:hideMark/>
          </w:tcPr>
          <w:p w14:paraId="19C68961" w14:textId="77777777" w:rsidR="001B4390" w:rsidRPr="004C201E" w:rsidRDefault="001B4390" w:rsidP="00D7048C">
            <w:pPr>
              <w:jc w:val="center"/>
              <w:rPr>
                <w:rFonts w:cstheme="minorHAnsi"/>
                <w:sz w:val="20"/>
                <w:szCs w:val="20"/>
              </w:rPr>
            </w:pPr>
            <w:r w:rsidRPr="004C201E">
              <w:rPr>
                <w:rFonts w:cstheme="minorHAnsi"/>
                <w:sz w:val="20"/>
                <w:szCs w:val="20"/>
              </w:rPr>
              <w:t>2025.</w:t>
            </w:r>
          </w:p>
        </w:tc>
      </w:tr>
      <w:tr w:rsidR="001B4390" w:rsidRPr="004C201E" w14:paraId="61CD576D" w14:textId="77777777" w:rsidTr="00D7048C">
        <w:trPr>
          <w:trHeight w:val="171"/>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04F3270E" w14:textId="77777777" w:rsidR="001B4390" w:rsidRPr="004C201E" w:rsidRDefault="001B4390" w:rsidP="00D7048C">
            <w:pPr>
              <w:spacing w:line="240" w:lineRule="auto"/>
              <w:rPr>
                <w:rFonts w:cstheme="minorHAnsi"/>
                <w:sz w:val="20"/>
                <w:szCs w:val="20"/>
              </w:rPr>
            </w:pPr>
          </w:p>
        </w:tc>
        <w:tc>
          <w:tcPr>
            <w:tcW w:w="4110" w:type="dxa"/>
            <w:vMerge w:val="restart"/>
            <w:tcBorders>
              <w:top w:val="single" w:sz="4" w:space="0" w:color="auto"/>
              <w:left w:val="single" w:sz="4" w:space="0" w:color="auto"/>
              <w:bottom w:val="single" w:sz="4" w:space="0" w:color="auto"/>
              <w:right w:val="single" w:sz="4" w:space="0" w:color="auto"/>
            </w:tcBorders>
            <w:vAlign w:val="center"/>
            <w:hideMark/>
          </w:tcPr>
          <w:p w14:paraId="7F2DF2C3" w14:textId="77777777" w:rsidR="001B4390" w:rsidRPr="004C201E" w:rsidRDefault="001B4390" w:rsidP="00D7048C">
            <w:pPr>
              <w:spacing w:line="240" w:lineRule="auto"/>
              <w:rPr>
                <w:rFonts w:cstheme="minorHAnsi"/>
                <w:sz w:val="20"/>
                <w:szCs w:val="20"/>
              </w:rPr>
            </w:pPr>
            <w:r w:rsidRPr="004C201E">
              <w:rPr>
                <w:rFonts w:cstheme="minorHAnsi"/>
                <w:sz w:val="20"/>
                <w:szCs w:val="20"/>
              </w:rPr>
              <w:t>Obrazovanje odraslih</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0C72943" w14:textId="77777777" w:rsidR="001B4390" w:rsidRPr="004C201E" w:rsidRDefault="001B4390" w:rsidP="00D7048C">
            <w:pPr>
              <w:spacing w:line="240" w:lineRule="auto"/>
              <w:rPr>
                <w:rFonts w:cstheme="minorHAnsi"/>
                <w:sz w:val="20"/>
                <w:szCs w:val="20"/>
              </w:rPr>
            </w:pPr>
            <w:r w:rsidRPr="004C201E">
              <w:rPr>
                <w:rFonts w:cstheme="minorHAnsi"/>
                <w:sz w:val="20"/>
                <w:szCs w:val="20"/>
              </w:rPr>
              <w:t>Broj polaznika</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386C416"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1D442E" w14:textId="77777777" w:rsidR="001B4390" w:rsidRPr="004C201E" w:rsidRDefault="001B4390" w:rsidP="00D7048C">
            <w:pPr>
              <w:spacing w:line="240" w:lineRule="auto"/>
              <w:jc w:val="center"/>
              <w:rPr>
                <w:rFonts w:cstheme="minorHAnsi"/>
                <w:sz w:val="20"/>
                <w:szCs w:val="20"/>
              </w:rPr>
            </w:pPr>
            <w:r w:rsidRPr="004C201E">
              <w:rPr>
                <w:rFonts w:cstheme="minorHAnsi"/>
                <w:sz w:val="20"/>
                <w:szCs w:val="20"/>
              </w:rPr>
              <w:t>100%</w:t>
            </w:r>
          </w:p>
        </w:tc>
      </w:tr>
      <w:tr w:rsidR="001B4390" w:rsidRPr="004C201E" w14:paraId="79DF1019" w14:textId="77777777" w:rsidTr="00D7048C">
        <w:trPr>
          <w:trHeight w:val="171"/>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1D9FCBB6" w14:textId="77777777" w:rsidR="001B4390" w:rsidRPr="004C201E" w:rsidRDefault="001B4390" w:rsidP="00D7048C">
            <w:pPr>
              <w:spacing w:line="240" w:lineRule="auto"/>
              <w:rPr>
                <w:rFonts w:cstheme="minorHAnsi"/>
                <w:sz w:val="24"/>
                <w:szCs w:val="24"/>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1656DA2A" w14:textId="77777777" w:rsidR="001B4390" w:rsidRPr="004C201E" w:rsidRDefault="001B4390" w:rsidP="00D7048C">
            <w:pPr>
              <w:spacing w:line="240" w:lineRule="auto"/>
              <w:rPr>
                <w:rFonts w:cstheme="minorHAnsi"/>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CFC36F4" w14:textId="77777777" w:rsidR="001B4390" w:rsidRPr="004C201E" w:rsidRDefault="001B4390" w:rsidP="00D7048C">
            <w:pPr>
              <w:spacing w:line="240" w:lineRule="auto"/>
              <w:rPr>
                <w:rFonts w:cstheme="minorHAnsi"/>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12D5033D" w14:textId="77777777" w:rsidR="001B4390" w:rsidRPr="004C201E" w:rsidRDefault="001B4390" w:rsidP="00D7048C">
            <w:pPr>
              <w:spacing w:line="240" w:lineRule="auto"/>
              <w:jc w:val="center"/>
              <w:rPr>
                <w:rFonts w:cstheme="minorHAnsi"/>
                <w:sz w:val="24"/>
                <w:szCs w:val="24"/>
              </w:rPr>
            </w:pPr>
            <w:r w:rsidRPr="004C201E">
              <w:rPr>
                <w:rFonts w:cstheme="minorHAnsi"/>
                <w:sz w:val="24"/>
                <w:szCs w:val="24"/>
              </w:rPr>
              <w:t>199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E9F169" w14:textId="77777777" w:rsidR="001B4390" w:rsidRPr="00D7048C" w:rsidRDefault="001B4390" w:rsidP="00D7048C">
            <w:pPr>
              <w:spacing w:line="240" w:lineRule="auto"/>
              <w:jc w:val="center"/>
              <w:rPr>
                <w:rFonts w:cstheme="minorHAnsi"/>
                <w:sz w:val="24"/>
                <w:szCs w:val="24"/>
              </w:rPr>
            </w:pPr>
            <w:r w:rsidRPr="00D7048C">
              <w:rPr>
                <w:rFonts w:cstheme="minorHAnsi"/>
                <w:sz w:val="24"/>
                <w:szCs w:val="24"/>
              </w:rPr>
              <w:t>199</w:t>
            </w:r>
          </w:p>
        </w:tc>
        <w:bookmarkEnd w:id="0"/>
      </w:tr>
    </w:tbl>
    <w:p w14:paraId="7BCA7D32" w14:textId="65E0133F" w:rsidR="0085742A" w:rsidRDefault="001B4390" w:rsidP="00516196">
      <w:pPr>
        <w:rPr>
          <w:kern w:val="0"/>
          <w14:ligatures w14:val="none"/>
        </w:rPr>
      </w:pPr>
      <w:r w:rsidRPr="0085742A">
        <w:rPr>
          <w:rFonts w:cstheme="minorHAnsi"/>
        </w:rPr>
        <w:t xml:space="preserve"> </w:t>
      </w:r>
      <w:r w:rsidR="006D7D29" w:rsidRPr="0085742A">
        <w:rPr>
          <w:kern w:val="0"/>
          <w14:ligatures w14:val="none"/>
        </w:rPr>
        <w:tab/>
      </w:r>
    </w:p>
    <w:p w14:paraId="4EE39825" w14:textId="1811512B" w:rsidR="005673F1" w:rsidRPr="0085742A" w:rsidRDefault="006D7D29" w:rsidP="00516196">
      <w:pPr>
        <w:rPr>
          <w:rFonts w:cstheme="minorHAnsi"/>
        </w:rPr>
      </w:pPr>
      <w:r w:rsidRPr="0085742A">
        <w:rPr>
          <w:kern w:val="0"/>
          <w14:ligatures w14:val="none"/>
        </w:rPr>
        <w:t xml:space="preserve">  </w:t>
      </w:r>
      <w:r w:rsidR="0085742A" w:rsidRPr="007023D1">
        <w:rPr>
          <w:kern w:val="0"/>
          <w:sz w:val="20"/>
          <w:szCs w:val="20"/>
          <w14:ligatures w14:val="none"/>
        </w:rPr>
        <w:t>Knin, 10.11.2025. g.</w:t>
      </w:r>
      <w:r w:rsidRPr="007023D1">
        <w:rPr>
          <w:kern w:val="0"/>
          <w:sz w:val="20"/>
          <w:szCs w:val="20"/>
          <w14:ligatures w14:val="none"/>
        </w:rPr>
        <w:t xml:space="preserve">                                                                                                                                               </w:t>
      </w:r>
      <w:r w:rsidR="0085742A" w:rsidRPr="007023D1">
        <w:rPr>
          <w:kern w:val="0"/>
          <w:sz w:val="20"/>
          <w:szCs w:val="20"/>
          <w14:ligatures w14:val="none"/>
        </w:rPr>
        <w:t xml:space="preserve">                   </w:t>
      </w:r>
      <w:r w:rsidR="00CE55E5">
        <w:rPr>
          <w:kern w:val="0"/>
          <w:sz w:val="20"/>
          <w:szCs w:val="20"/>
          <w14:ligatures w14:val="none"/>
        </w:rPr>
        <w:t xml:space="preserve">                      </w:t>
      </w:r>
      <w:r w:rsidR="0085742A" w:rsidRPr="007023D1">
        <w:rPr>
          <w:kern w:val="0"/>
          <w:sz w:val="20"/>
          <w:szCs w:val="20"/>
          <w14:ligatures w14:val="none"/>
        </w:rPr>
        <w:t xml:space="preserve"> </w:t>
      </w:r>
      <w:r w:rsidRPr="007023D1">
        <w:rPr>
          <w:kern w:val="0"/>
          <w:sz w:val="20"/>
          <w:szCs w:val="20"/>
          <w14:ligatures w14:val="none"/>
        </w:rPr>
        <w:t xml:space="preserve">  ravnateljica: Sandra Žulj Cigić </w:t>
      </w:r>
      <w:r w:rsidR="001B4390" w:rsidRPr="007023D1">
        <w:rPr>
          <w:rFonts w:cstheme="minorHAnsi"/>
          <w:sz w:val="20"/>
          <w:szCs w:val="20"/>
        </w:rPr>
        <w:t xml:space="preserve">                                                                                                                                                                                                                                        </w:t>
      </w:r>
    </w:p>
    <w:p w14:paraId="766AD3B8" w14:textId="2D923984" w:rsidR="005673F1" w:rsidRPr="004C201E" w:rsidRDefault="00590355" w:rsidP="006D7D29">
      <w:pPr>
        <w:tabs>
          <w:tab w:val="left" w:pos="10350"/>
        </w:tabs>
        <w:rPr>
          <w:rFonts w:cstheme="minorHAnsi"/>
          <w:sz w:val="24"/>
          <w:szCs w:val="24"/>
        </w:rPr>
      </w:pPr>
      <w:r>
        <w:rPr>
          <w:rFonts w:cstheme="minorHAnsi"/>
          <w:sz w:val="24"/>
          <w:szCs w:val="24"/>
        </w:rPr>
        <w:t xml:space="preserve">                                                                                                                                                                                          _______________________</w:t>
      </w:r>
    </w:p>
    <w:p w14:paraId="60C339C5" w14:textId="6D7F64A8" w:rsidR="005673F1" w:rsidRPr="00516196" w:rsidRDefault="00590355" w:rsidP="00590355">
      <w:pPr>
        <w:tabs>
          <w:tab w:val="left" w:pos="10230"/>
        </w:tabs>
      </w:pPr>
      <w:r>
        <w:tab/>
        <w:t xml:space="preserve">   </w:t>
      </w:r>
    </w:p>
    <w:sectPr w:rsidR="005673F1" w:rsidRPr="00516196" w:rsidSect="00635AC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8612" w14:textId="77777777" w:rsidR="00B26E3F" w:rsidRDefault="00B26E3F" w:rsidP="00F377A6">
      <w:pPr>
        <w:spacing w:after="0" w:line="240" w:lineRule="auto"/>
      </w:pPr>
      <w:r>
        <w:separator/>
      </w:r>
    </w:p>
  </w:endnote>
  <w:endnote w:type="continuationSeparator" w:id="0">
    <w:p w14:paraId="045CE104" w14:textId="77777777" w:rsidR="00B26E3F" w:rsidRDefault="00B26E3F" w:rsidP="00F3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F39C" w14:textId="77777777" w:rsidR="00B26E3F" w:rsidRDefault="00B26E3F" w:rsidP="00F377A6">
      <w:pPr>
        <w:spacing w:after="0" w:line="240" w:lineRule="auto"/>
      </w:pPr>
      <w:r>
        <w:separator/>
      </w:r>
    </w:p>
  </w:footnote>
  <w:footnote w:type="continuationSeparator" w:id="0">
    <w:p w14:paraId="2ED85DB7" w14:textId="77777777" w:rsidR="00B26E3F" w:rsidRDefault="00B26E3F" w:rsidP="00F3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87A5C"/>
    <w:multiLevelType w:val="hybridMultilevel"/>
    <w:tmpl w:val="EBE2BE08"/>
    <w:lvl w:ilvl="0" w:tplc="DAA0CC2A">
      <w:start w:val="15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5587785">
    <w:abstractNumId w:val="0"/>
  </w:num>
  <w:num w:numId="2" w16cid:durableId="158560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80"/>
    <w:rsid w:val="00035012"/>
    <w:rsid w:val="00043185"/>
    <w:rsid w:val="000802A5"/>
    <w:rsid w:val="00080AF6"/>
    <w:rsid w:val="000D5A23"/>
    <w:rsid w:val="000F3F4C"/>
    <w:rsid w:val="001318A8"/>
    <w:rsid w:val="001732B7"/>
    <w:rsid w:val="00185585"/>
    <w:rsid w:val="001B4390"/>
    <w:rsid w:val="001C7BE2"/>
    <w:rsid w:val="0023564A"/>
    <w:rsid w:val="002829F2"/>
    <w:rsid w:val="002B4B59"/>
    <w:rsid w:val="002E7911"/>
    <w:rsid w:val="00342398"/>
    <w:rsid w:val="0034684B"/>
    <w:rsid w:val="00361FA6"/>
    <w:rsid w:val="00371C33"/>
    <w:rsid w:val="003C545C"/>
    <w:rsid w:val="003D4D0B"/>
    <w:rsid w:val="00445079"/>
    <w:rsid w:val="00446E80"/>
    <w:rsid w:val="004707E2"/>
    <w:rsid w:val="004C201E"/>
    <w:rsid w:val="00516196"/>
    <w:rsid w:val="005448D7"/>
    <w:rsid w:val="0056526F"/>
    <w:rsid w:val="005673F1"/>
    <w:rsid w:val="00572905"/>
    <w:rsid w:val="00584E7F"/>
    <w:rsid w:val="00590355"/>
    <w:rsid w:val="00594658"/>
    <w:rsid w:val="0062206A"/>
    <w:rsid w:val="00634E91"/>
    <w:rsid w:val="00635ACA"/>
    <w:rsid w:val="00692D39"/>
    <w:rsid w:val="006D7D29"/>
    <w:rsid w:val="007023D1"/>
    <w:rsid w:val="00724590"/>
    <w:rsid w:val="00752F7C"/>
    <w:rsid w:val="00780F81"/>
    <w:rsid w:val="0079299B"/>
    <w:rsid w:val="00793B56"/>
    <w:rsid w:val="007F07EB"/>
    <w:rsid w:val="007F1C1B"/>
    <w:rsid w:val="0085742A"/>
    <w:rsid w:val="00891DA8"/>
    <w:rsid w:val="009379DD"/>
    <w:rsid w:val="00955C65"/>
    <w:rsid w:val="00992A05"/>
    <w:rsid w:val="009B0F69"/>
    <w:rsid w:val="009C6876"/>
    <w:rsid w:val="00A04580"/>
    <w:rsid w:val="00A93FDD"/>
    <w:rsid w:val="00AB7212"/>
    <w:rsid w:val="00AD539C"/>
    <w:rsid w:val="00B26E3F"/>
    <w:rsid w:val="00B33811"/>
    <w:rsid w:val="00B44EAA"/>
    <w:rsid w:val="00BA3965"/>
    <w:rsid w:val="00BF2F38"/>
    <w:rsid w:val="00C322B0"/>
    <w:rsid w:val="00C656D2"/>
    <w:rsid w:val="00C81C2E"/>
    <w:rsid w:val="00C91B2A"/>
    <w:rsid w:val="00CB2A68"/>
    <w:rsid w:val="00CE55E5"/>
    <w:rsid w:val="00D7048C"/>
    <w:rsid w:val="00DB63BD"/>
    <w:rsid w:val="00DC0EC9"/>
    <w:rsid w:val="00DC7B97"/>
    <w:rsid w:val="00E13546"/>
    <w:rsid w:val="00E25364"/>
    <w:rsid w:val="00E65099"/>
    <w:rsid w:val="00E75AAC"/>
    <w:rsid w:val="00ED697F"/>
    <w:rsid w:val="00F013FC"/>
    <w:rsid w:val="00F12106"/>
    <w:rsid w:val="00F26F0B"/>
    <w:rsid w:val="00F377A6"/>
    <w:rsid w:val="00F615F7"/>
    <w:rsid w:val="00FB04B4"/>
    <w:rsid w:val="00FE5E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727A"/>
  <w15:chartTrackingRefBased/>
  <w15:docId w15:val="{2EED66ED-B994-40F6-B82E-BC91C348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012"/>
    <w:pPr>
      <w:spacing w:line="254" w:lineRule="auto"/>
    </w:pPr>
  </w:style>
  <w:style w:type="paragraph" w:styleId="Naslov1">
    <w:name w:val="heading 1"/>
    <w:basedOn w:val="Normal"/>
    <w:next w:val="Normal"/>
    <w:link w:val="Naslov1Char"/>
    <w:uiPriority w:val="9"/>
    <w:qFormat/>
    <w:rsid w:val="00446E8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46E8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46E80"/>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46E80"/>
    <w:pPr>
      <w:keepNext/>
      <w:keepLines/>
      <w:spacing w:before="80" w:after="40" w:line="259" w:lineRule="auto"/>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46E80"/>
    <w:pPr>
      <w:keepNext/>
      <w:keepLines/>
      <w:spacing w:before="80" w:after="40" w:line="259" w:lineRule="auto"/>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46E80"/>
    <w:pPr>
      <w:keepNext/>
      <w:keepLines/>
      <w:spacing w:before="40" w:after="0" w:line="259" w:lineRule="auto"/>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46E80"/>
    <w:pPr>
      <w:keepNext/>
      <w:keepLines/>
      <w:spacing w:before="40" w:after="0" w:line="259" w:lineRule="auto"/>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46E80"/>
    <w:pPr>
      <w:keepNext/>
      <w:keepLines/>
      <w:spacing w:after="0" w:line="259" w:lineRule="auto"/>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46E80"/>
    <w:pPr>
      <w:keepNext/>
      <w:keepLines/>
      <w:spacing w:after="0" w:line="259" w:lineRule="auto"/>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46E8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46E8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46E8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46E8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46E8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46E8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46E8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46E8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46E80"/>
    <w:rPr>
      <w:rFonts w:eastAsiaTheme="majorEastAsia" w:cstheme="majorBidi"/>
      <w:color w:val="272727" w:themeColor="text1" w:themeTint="D8"/>
    </w:rPr>
  </w:style>
  <w:style w:type="paragraph" w:styleId="Naslov">
    <w:name w:val="Title"/>
    <w:basedOn w:val="Normal"/>
    <w:next w:val="Normal"/>
    <w:link w:val="NaslovChar"/>
    <w:uiPriority w:val="10"/>
    <w:qFormat/>
    <w:rsid w:val="0044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46E8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46E8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46E8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6E80"/>
    <w:pPr>
      <w:spacing w:before="160"/>
      <w:jc w:val="center"/>
    </w:pPr>
    <w:rPr>
      <w:i/>
      <w:iCs/>
      <w:color w:val="404040" w:themeColor="text1" w:themeTint="BF"/>
    </w:rPr>
  </w:style>
  <w:style w:type="character" w:customStyle="1" w:styleId="CitatChar">
    <w:name w:val="Citat Char"/>
    <w:basedOn w:val="Zadanifontodlomka"/>
    <w:link w:val="Citat"/>
    <w:uiPriority w:val="29"/>
    <w:rsid w:val="00446E80"/>
    <w:rPr>
      <w:i/>
      <w:iCs/>
      <w:color w:val="404040" w:themeColor="text1" w:themeTint="BF"/>
    </w:rPr>
  </w:style>
  <w:style w:type="paragraph" w:styleId="Odlomakpopisa">
    <w:name w:val="List Paragraph"/>
    <w:basedOn w:val="Normal"/>
    <w:uiPriority w:val="34"/>
    <w:qFormat/>
    <w:rsid w:val="00446E80"/>
    <w:pPr>
      <w:ind w:left="720"/>
      <w:contextualSpacing/>
    </w:pPr>
  </w:style>
  <w:style w:type="character" w:styleId="Jakoisticanje">
    <w:name w:val="Intense Emphasis"/>
    <w:basedOn w:val="Zadanifontodlomka"/>
    <w:uiPriority w:val="21"/>
    <w:qFormat/>
    <w:rsid w:val="00446E80"/>
    <w:rPr>
      <w:i/>
      <w:iCs/>
      <w:color w:val="2F5496" w:themeColor="accent1" w:themeShade="BF"/>
    </w:rPr>
  </w:style>
  <w:style w:type="paragraph" w:styleId="Naglaencitat">
    <w:name w:val="Intense Quote"/>
    <w:basedOn w:val="Normal"/>
    <w:next w:val="Normal"/>
    <w:link w:val="NaglaencitatChar"/>
    <w:uiPriority w:val="30"/>
    <w:qFormat/>
    <w:rsid w:val="00446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46E80"/>
    <w:rPr>
      <w:i/>
      <w:iCs/>
      <w:color w:val="2F5496" w:themeColor="accent1" w:themeShade="BF"/>
    </w:rPr>
  </w:style>
  <w:style w:type="character" w:styleId="Istaknutareferenca">
    <w:name w:val="Intense Reference"/>
    <w:basedOn w:val="Zadanifontodlomka"/>
    <w:uiPriority w:val="32"/>
    <w:qFormat/>
    <w:rsid w:val="00446E80"/>
    <w:rPr>
      <w:b/>
      <w:bCs/>
      <w:smallCaps/>
      <w:color w:val="2F5496" w:themeColor="accent1" w:themeShade="BF"/>
      <w:spacing w:val="5"/>
    </w:rPr>
  </w:style>
  <w:style w:type="paragraph" w:styleId="Bezproreda">
    <w:name w:val="No Spacing"/>
    <w:uiPriority w:val="1"/>
    <w:qFormat/>
    <w:rsid w:val="00035012"/>
    <w:pPr>
      <w:spacing w:after="0" w:line="240" w:lineRule="auto"/>
    </w:pPr>
  </w:style>
  <w:style w:type="table" w:styleId="Reetkatablice">
    <w:name w:val="Table Grid"/>
    <w:basedOn w:val="Obinatablica"/>
    <w:uiPriority w:val="39"/>
    <w:rsid w:val="00F377A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377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377A6"/>
  </w:style>
  <w:style w:type="paragraph" w:styleId="Podnoje">
    <w:name w:val="footer"/>
    <w:basedOn w:val="Normal"/>
    <w:link w:val="PodnojeChar"/>
    <w:uiPriority w:val="99"/>
    <w:unhideWhenUsed/>
    <w:rsid w:val="00F377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37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 KNIN</dc:creator>
  <cp:keywords/>
  <dc:description/>
  <cp:lastModifiedBy>POU KNIN</cp:lastModifiedBy>
  <cp:revision>34</cp:revision>
  <cp:lastPrinted>2025-11-05T10:09:00Z</cp:lastPrinted>
  <dcterms:created xsi:type="dcterms:W3CDTF">2025-11-05T09:53:00Z</dcterms:created>
  <dcterms:modified xsi:type="dcterms:W3CDTF">2025-11-14T12:56:00Z</dcterms:modified>
</cp:coreProperties>
</file>